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240" w:line="240" w:lineRule="auto"/>
        <w:jc w:val="right"/>
        <w:rPr>
          <w:rFonts w:ascii="Times New Roman" w:cs="Times New Roman" w:eastAsia="Times New Roman" w:hAnsi="Times New Roman"/>
          <w:b w:val="1"/>
          <w:i w:val="1"/>
          <w:color w:val="4a86e8"/>
          <w:sz w:val="24"/>
          <w:szCs w:val="24"/>
          <w:highlight w:val="white"/>
        </w:rPr>
      </w:pPr>
      <w:r w:rsidDel="00000000" w:rsidR="00000000" w:rsidRPr="00000000">
        <w:rPr>
          <w:rFonts w:ascii="Times New Roman" w:cs="Times New Roman" w:eastAsia="Times New Roman" w:hAnsi="Times New Roman"/>
          <w:b w:val="1"/>
          <w:i w:val="1"/>
          <w:color w:val="4a86e8"/>
          <w:sz w:val="24"/>
          <w:szCs w:val="24"/>
          <w:highlight w:val="white"/>
          <w:rtl w:val="0"/>
        </w:rPr>
        <w:t xml:space="preserve">19.06.2025</w:t>
      </w:r>
    </w:p>
    <w:p w:rsidR="00000000" w:rsidDel="00000000" w:rsidP="00000000" w:rsidRDefault="00000000" w:rsidRPr="00000000" w14:paraId="00000002">
      <w:pPr>
        <w:spacing w:after="0" w:before="240" w:line="240" w:lineRule="auto"/>
        <w:jc w:val="right"/>
        <w:rPr>
          <w:rFonts w:ascii="Times New Roman" w:cs="Times New Roman" w:eastAsia="Times New Roman" w:hAnsi="Times New Roman"/>
          <w:b w:val="1"/>
          <w:i w:val="1"/>
          <w:color w:val="4a86e8"/>
          <w:sz w:val="24"/>
          <w:szCs w:val="24"/>
          <w:highlight w:val="white"/>
        </w:rPr>
      </w:pPr>
      <w:r w:rsidDel="00000000" w:rsidR="00000000" w:rsidRPr="00000000">
        <w:rPr>
          <w:rFonts w:ascii="Times New Roman" w:cs="Times New Roman" w:eastAsia="Times New Roman" w:hAnsi="Times New Roman"/>
          <w:b w:val="1"/>
          <w:i w:val="1"/>
          <w:color w:val="4a86e8"/>
          <w:sz w:val="24"/>
          <w:szCs w:val="24"/>
          <w:highlight w:val="white"/>
          <w:rtl w:val="0"/>
        </w:rPr>
        <w:t xml:space="preserve">Приклад Додатка 2 до ТД </w:t>
      </w:r>
    </w:p>
    <w:p w:rsidR="00000000" w:rsidDel="00000000" w:rsidP="00000000" w:rsidRDefault="00000000" w:rsidRPr="00000000" w14:paraId="00000003">
      <w:pPr>
        <w:shd w:fill="ffffff" w:val="clear"/>
        <w:spacing w:after="280" w:before="0" w:line="240" w:lineRule="auto"/>
        <w:ind w:left="720" w:firstLine="0"/>
        <w:jc w:val="both"/>
        <w:rPr>
          <w:rFonts w:ascii="Times New Roman" w:cs="Times New Roman" w:eastAsia="Times New Roman" w:hAnsi="Times New Roman"/>
          <w:i w:val="1"/>
          <w:sz w:val="24"/>
          <w:szCs w:val="24"/>
        </w:rPr>
      </w:pPr>
      <w:bookmarkStart w:colFirst="0" w:colLast="0" w:name="_heading=h.f874jv5m8rs9" w:id="0"/>
      <w:bookmarkEnd w:id="0"/>
      <w:r w:rsidDel="00000000" w:rsidR="00000000" w:rsidRPr="00000000">
        <w:rPr>
          <w:rtl w:val="0"/>
        </w:rPr>
      </w:r>
    </w:p>
    <w:p w:rsidR="00000000" w:rsidDel="00000000" w:rsidP="00000000" w:rsidRDefault="00000000" w:rsidRPr="00000000" w14:paraId="00000004">
      <w:pPr>
        <w:shd w:fill="ffffff" w:val="clear"/>
        <w:spacing w:after="0" w:before="280" w:line="240" w:lineRule="auto"/>
        <w:ind w:left="720" w:firstLine="0"/>
        <w:jc w:val="center"/>
        <w:rPr>
          <w:rFonts w:ascii="Times New Roman" w:cs="Times New Roman" w:eastAsia="Times New Roman" w:hAnsi="Times New Roman"/>
          <w:b w:val="1"/>
          <w:color w:val="ff0000"/>
          <w:sz w:val="24"/>
          <w:szCs w:val="24"/>
          <w:highlight w:val="yellow"/>
          <w:u w:val="single"/>
        </w:rPr>
      </w:pPr>
      <w:bookmarkStart w:colFirst="0" w:colLast="0" w:name="_heading=h.a0rapwkcsc3b" w:id="1"/>
      <w:bookmarkEnd w:id="1"/>
      <w:r w:rsidDel="00000000" w:rsidR="00000000" w:rsidRPr="00000000">
        <w:rPr>
          <w:rFonts w:ascii="Times New Roman" w:cs="Times New Roman" w:eastAsia="Times New Roman" w:hAnsi="Times New Roman"/>
          <w:b w:val="1"/>
          <w:color w:val="ff0000"/>
          <w:sz w:val="24"/>
          <w:szCs w:val="24"/>
          <w:highlight w:val="yellow"/>
          <w:u w:val="single"/>
          <w:rtl w:val="0"/>
        </w:rPr>
        <w:t xml:space="preserve">Увага!!!</w:t>
      </w:r>
    </w:p>
    <w:p w:rsidR="00000000" w:rsidDel="00000000" w:rsidP="00000000" w:rsidRDefault="00000000" w:rsidRPr="00000000" w14:paraId="00000005">
      <w:pPr>
        <w:widowControl w:val="0"/>
        <w:numPr>
          <w:ilvl w:val="0"/>
          <w:numId w:val="2"/>
        </w:numPr>
        <w:spacing w:after="0" w:line="240" w:lineRule="auto"/>
        <w:ind w:left="720" w:hanging="3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color w:val="ff0000"/>
          <w:sz w:val="24"/>
          <w:szCs w:val="24"/>
          <w:highlight w:val="yellow"/>
          <w:rtl w:val="0"/>
        </w:rPr>
        <w:t xml:space="preserve">В Додаток 2 до тендерної документації включено норми </w:t>
      </w:r>
      <w:r w:rsidDel="00000000" w:rsidR="00000000" w:rsidRPr="00000000">
        <w:rPr>
          <w:rFonts w:ascii="Times New Roman" w:cs="Times New Roman" w:eastAsia="Times New Roman" w:hAnsi="Times New Roman"/>
          <w:b w:val="1"/>
          <w:color w:val="ff0000"/>
          <w:sz w:val="24"/>
          <w:szCs w:val="24"/>
          <w:highlight w:val="yellow"/>
          <w:u w:val="single"/>
          <w:rtl w:val="0"/>
        </w:rPr>
        <w:t xml:space="preserve">щодо локалізації виробництва</w:t>
      </w:r>
      <w:r w:rsidDel="00000000" w:rsidR="00000000" w:rsidRPr="00000000">
        <w:rPr>
          <w:rFonts w:ascii="Times New Roman" w:cs="Times New Roman" w:eastAsia="Times New Roman" w:hAnsi="Times New Roman"/>
          <w:b w:val="1"/>
          <w:color w:val="ff0000"/>
          <w:highlight w:val="yellow"/>
          <w:u w:val="single"/>
          <w:rtl w:val="0"/>
        </w:rPr>
        <w:t xml:space="preserve">.</w:t>
      </w:r>
    </w:p>
    <w:p w:rsidR="00000000" w:rsidDel="00000000" w:rsidP="00000000" w:rsidRDefault="00000000" w:rsidRPr="00000000" w14:paraId="00000006">
      <w:pPr>
        <w:widowControl w:val="0"/>
        <w:numPr>
          <w:ilvl w:val="0"/>
          <w:numId w:val="2"/>
        </w:numPr>
        <w:spacing w:after="0" w:line="240" w:lineRule="auto"/>
        <w:ind w:left="720" w:hanging="3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color w:val="ff0000"/>
          <w:sz w:val="24"/>
          <w:szCs w:val="24"/>
          <w:highlight w:val="yellow"/>
          <w:rtl w:val="0"/>
        </w:rPr>
        <w:t xml:space="preserve">Замовник самостійно визначає необхідні технічні характеристики предмета закупівлі з огляду на специфіку предмета закупівлі, керуючись принципами здійснення закупівель та з дотриманням законодавства.</w:t>
      </w:r>
    </w:p>
    <w:p w:rsidR="00000000" w:rsidDel="00000000" w:rsidP="00000000" w:rsidRDefault="00000000" w:rsidRPr="00000000" w14:paraId="00000007">
      <w:pPr>
        <w:spacing w:after="0"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spacing w:after="0"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9">
      <w:pPr>
        <w:spacing w:after="0" w:line="240" w:lineRule="auto"/>
        <w:ind w:left="566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2</w:t>
      </w:r>
      <w:r w:rsidDel="00000000" w:rsidR="00000000" w:rsidRPr="00000000">
        <w:rPr>
          <w:rtl w:val="0"/>
        </w:rPr>
      </w:r>
    </w:p>
    <w:p w:rsidR="00000000" w:rsidDel="00000000" w:rsidP="00000000" w:rsidRDefault="00000000" w:rsidRPr="00000000" w14:paraId="0000000A">
      <w:pPr>
        <w:spacing w:after="0" w:line="240" w:lineRule="auto"/>
        <w:ind w:left="5660" w:firstLine="0"/>
        <w:jc w:val="right"/>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i w:val="1"/>
          <w:color w:val="000000"/>
          <w:sz w:val="24"/>
          <w:szCs w:val="24"/>
          <w:rtl w:val="0"/>
        </w:rPr>
        <w:t xml:space="preserve">до тендерної документації</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B">
      <w:pPr>
        <w:spacing w:after="0" w:before="240" w:line="240" w:lineRule="auto"/>
        <w:jc w:val="center"/>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highlight w:val="white"/>
          <w:rtl w:val="0"/>
        </w:rPr>
        <w:t xml:space="preserve">Інформація про необхідні технічні, якісні та кількісні характеристики предмета закупівлі — технічні вимоги до предмета закупівлі</w:t>
      </w:r>
      <w:r w:rsidDel="00000000" w:rsidR="00000000" w:rsidRPr="00000000">
        <w:rPr>
          <w:rtl w:val="0"/>
        </w:rPr>
      </w:r>
    </w:p>
    <w:p w:rsidR="00000000" w:rsidDel="00000000" w:rsidP="00000000" w:rsidRDefault="00000000" w:rsidRPr="00000000" w14:paraId="0000000C">
      <w:pPr>
        <w:spacing w:after="0" w:before="240" w:line="240" w:lineRule="auto"/>
        <w:jc w:val="center"/>
        <w:rPr>
          <w:rFonts w:ascii="Times New Roman" w:cs="Times New Roman" w:eastAsia="Times New Roman" w:hAnsi="Times New Roman"/>
          <w:b w:val="1"/>
          <w:i w:val="1"/>
          <w:color w:val="000000"/>
          <w:sz w:val="4"/>
          <w:szCs w:val="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i w:val="1"/>
          <w:sz w:val="24"/>
          <w:szCs w:val="24"/>
          <w:highlight w:val="white"/>
        </w:rPr>
      </w:pPr>
      <w:r w:rsidDel="00000000" w:rsidR="00000000" w:rsidRPr="00000000">
        <w:rPr>
          <w:rtl w:val="0"/>
        </w:rPr>
      </w:r>
    </w:p>
    <w:p w:rsidR="00000000" w:rsidDel="00000000" w:rsidP="00000000" w:rsidRDefault="00000000" w:rsidRPr="00000000" w14:paraId="0000000E">
      <w:pPr>
        <w:spacing w:after="0" w:line="240" w:lineRule="auto"/>
        <w:jc w:val="center"/>
        <w:rPr>
          <w:rFonts w:ascii="Times New Roman" w:cs="Times New Roman" w:eastAsia="Times New Roman" w:hAnsi="Times New Roman"/>
          <w:i w:val="1"/>
          <w:color w:val="4472c4"/>
          <w:sz w:val="24"/>
          <w:szCs w:val="24"/>
        </w:rPr>
      </w:pPr>
      <w:r w:rsidDel="00000000" w:rsidR="00000000" w:rsidRPr="00000000">
        <w:rPr>
          <w:rFonts w:ascii="Times New Roman" w:cs="Times New Roman" w:eastAsia="Times New Roman" w:hAnsi="Times New Roman"/>
          <w:b w:val="1"/>
          <w:i w:val="1"/>
          <w:sz w:val="24"/>
          <w:szCs w:val="24"/>
          <w:highlight w:val="white"/>
          <w:rtl w:val="0"/>
        </w:rPr>
        <w:t xml:space="preserve">ТЕХНІЧНА СПЕЦИФІКАЦІЯ</w:t>
      </w:r>
      <w:r w:rsidDel="00000000" w:rsidR="00000000" w:rsidRPr="00000000">
        <w:rPr>
          <w:rtl w:val="0"/>
        </w:rPr>
      </w:r>
    </w:p>
    <w:p w:rsidR="00000000" w:rsidDel="00000000" w:rsidP="00000000" w:rsidRDefault="00000000" w:rsidRPr="00000000" w14:paraId="0000000F">
      <w:pPr>
        <w:shd w:fill="ffffff" w:val="clear"/>
        <w:spacing w:after="0"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4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Технічні специфікації не повинні містити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У разі якщо таке посилання є необхідним, воно </w:t>
      </w:r>
      <w:r w:rsidDel="00000000" w:rsidR="00000000" w:rsidRPr="00000000">
        <w:rPr>
          <w:rFonts w:ascii="Times New Roman" w:cs="Times New Roman" w:eastAsia="Times New Roman" w:hAnsi="Times New Roman"/>
          <w:b w:val="1"/>
          <w:sz w:val="24"/>
          <w:szCs w:val="24"/>
          <w:rtl w:val="0"/>
        </w:rPr>
        <w:t xml:space="preserve">повинно бути обґрунтованим та містити вираз «або еквівалент».</w:t>
      </w:r>
    </w:p>
    <w:p w:rsidR="00000000" w:rsidDel="00000000" w:rsidP="00000000" w:rsidRDefault="00000000" w:rsidRPr="00000000" w14:paraId="00000011">
      <w:pPr>
        <w:shd w:fill="ffffff" w:val="clear"/>
        <w:spacing w:after="0" w:line="240" w:lineRule="auto"/>
        <w:ind w:left="0" w:firstLine="720"/>
        <w:jc w:val="both"/>
        <w:rPr>
          <w:rFonts w:ascii="Times New Roman" w:cs="Times New Roman" w:eastAsia="Times New Roman" w:hAnsi="Times New Roman"/>
          <w:i w:val="1"/>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 вимоги в Додатку 2 на виконання даної норми:</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highlight w:val="yellow"/>
          <w:rtl w:val="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«або еквівалент».</w:t>
      </w:r>
    </w:p>
    <w:p w:rsidR="00000000" w:rsidDel="00000000" w:rsidP="00000000" w:rsidRDefault="00000000" w:rsidRPr="00000000" w14:paraId="00000012">
      <w:pPr>
        <w:shd w:fill="ffffff" w:val="clear"/>
        <w:spacing w:after="0"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hd w:fill="ffffff" w:val="clear"/>
        <w:spacing w:after="0" w:line="240" w:lineRule="auto"/>
        <w:ind w:firstLine="4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Технічна специфікація повинна містити опис усіх необхідних характеристик товарів, робіт або послуг, що закуповуються, у тому числі їх технічні, функціональні та якісні характеристики. У разі якщо вичерпний опис характеристик скласти неможливо, технічні специфікації можуть містити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Del="00000000" w:rsidR="00000000" w:rsidRPr="00000000">
        <w:rPr>
          <w:rFonts w:ascii="Times New Roman" w:cs="Times New Roman" w:eastAsia="Times New Roman" w:hAnsi="Times New Roman"/>
          <w:b w:val="1"/>
          <w:sz w:val="24"/>
          <w:szCs w:val="24"/>
          <w:rtl w:val="0"/>
        </w:rPr>
        <w:t xml:space="preserve">До кожного посилання повинен додаватися вираз «або еквівалент».</w:t>
      </w:r>
      <w:r w:rsidDel="00000000" w:rsidR="00000000" w:rsidRPr="00000000">
        <w:rPr>
          <w:rtl w:val="0"/>
        </w:rPr>
      </w:r>
    </w:p>
    <w:p w:rsidR="00000000" w:rsidDel="00000000" w:rsidP="00000000" w:rsidRDefault="00000000" w:rsidRPr="00000000" w14:paraId="00000014">
      <w:pPr>
        <w:shd w:fill="ffffff" w:val="clear"/>
        <w:spacing w:after="0" w:line="240" w:lineRule="auto"/>
        <w:ind w:left="0" w:firstLine="720"/>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 вимоги в Додатку 2 на виконання даної норми:</w:t>
      </w:r>
      <w:r w:rsidDel="00000000" w:rsidR="00000000" w:rsidRPr="00000000">
        <w:rPr>
          <w:rFonts w:ascii="Times New Roman" w:cs="Times New Roman" w:eastAsia="Times New Roman" w:hAnsi="Times New Roman"/>
          <w:i w:val="1"/>
          <w:color w:val="ff0000"/>
          <w:sz w:val="24"/>
          <w:szCs w:val="24"/>
          <w:rtl w:val="0"/>
        </w:rPr>
        <w:t xml:space="preserve"> </w:t>
      </w:r>
      <w:r w:rsidDel="00000000" w:rsidR="00000000" w:rsidRPr="00000000">
        <w:rPr>
          <w:rFonts w:ascii="Times New Roman" w:cs="Times New Roman" w:eastAsia="Times New Roman" w:hAnsi="Times New Roman"/>
          <w:i w:val="1"/>
          <w:sz w:val="24"/>
          <w:szCs w:val="24"/>
          <w:highlight w:val="yellow"/>
          <w:rtl w:val="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sidDel="00000000" w:rsidR="00000000" w:rsidRPr="00000000">
        <w:rPr>
          <w:rFonts w:ascii="Times New Roman" w:cs="Times New Roman" w:eastAsia="Times New Roman" w:hAnsi="Times New Roman"/>
          <w:b w:val="1"/>
          <w:i w:val="1"/>
          <w:sz w:val="24"/>
          <w:szCs w:val="24"/>
          <w:highlight w:val="yellow"/>
          <w:rtl w:val="0"/>
        </w:rPr>
        <w:t xml:space="preserve">Таким чином, вважається, що до кожного посилання додається вираз «або еквівалент».</w:t>
      </w:r>
    </w:p>
    <w:p w:rsidR="00000000" w:rsidDel="00000000" w:rsidP="00000000" w:rsidRDefault="00000000" w:rsidRPr="00000000" w14:paraId="00000015">
      <w:pPr>
        <w:shd w:fill="ffffff" w:val="clear"/>
        <w:spacing w:after="0" w:line="240" w:lineRule="auto"/>
        <w:ind w:left="0"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6">
      <w:pPr>
        <w:shd w:fill="ffffff" w:val="clear"/>
        <w:spacing w:after="0" w:line="240" w:lineRule="auto"/>
        <w:ind w:firstLine="460"/>
        <w:jc w:val="center"/>
        <w:rPr>
          <w:rFonts w:ascii="Times New Roman" w:cs="Times New Roman" w:eastAsia="Times New Roman" w:hAnsi="Times New Roman"/>
          <w:b w:val="1"/>
          <w:color w:val="ff0000"/>
          <w:sz w:val="24"/>
          <w:szCs w:val="24"/>
          <w:highlight w:val="yellow"/>
          <w:u w:val="single"/>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Встановлюється замовником  у разі потреби (якщо встановлюється, необхідно додати вимогу в Додаток 1 до ТД):</w:t>
      </w:r>
    </w:p>
    <w:p w:rsidR="00000000" w:rsidDel="00000000" w:rsidP="00000000" w:rsidRDefault="00000000" w:rsidRPr="00000000" w14:paraId="00000017">
      <w:pPr>
        <w:shd w:fill="ffffff" w:val="clear"/>
        <w:spacing w:after="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У разі, якщо замовник вимагає маркування, протоколи випробувань та сертифікати повинні бути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8">
      <w:pPr>
        <w:shd w:fill="ffffff" w:val="clear"/>
        <w:spacing w:after="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У разі, якщо учасник не має відповідних маркувань, протоколів випробувань чи сертифікатів, і не має можливості отримати їх до закінчення кінцевого строку подання тендерних пропозицій із причин, від нього не залежних, він може подати </w:t>
      </w:r>
      <w:r w:rsidDel="00000000" w:rsidR="00000000" w:rsidRPr="00000000">
        <w:rPr>
          <w:rFonts w:ascii="Times New Roman" w:cs="Times New Roman" w:eastAsia="Times New Roman" w:hAnsi="Times New Roman"/>
          <w:b w:val="1"/>
          <w:sz w:val="24"/>
          <w:szCs w:val="24"/>
          <w:highlight w:val="yellow"/>
          <w:rtl w:val="0"/>
        </w:rPr>
        <w:t xml:space="preserve">технічний паспорт на підтвердження відповідності тим же об’єктивним критеріям.</w:t>
      </w:r>
      <w:r w:rsidDel="00000000" w:rsidR="00000000" w:rsidRPr="00000000">
        <w:rPr>
          <w:rFonts w:ascii="Times New Roman" w:cs="Times New Roman" w:eastAsia="Times New Roman" w:hAnsi="Times New Roman"/>
          <w:sz w:val="24"/>
          <w:szCs w:val="24"/>
          <w:highlight w:val="yellow"/>
          <w:rtl w:val="0"/>
        </w:rPr>
        <w:t xml:space="preserve"> (У такому випадку замовник зобов’язаний розглянути технічний паспорт і визначити, чи справді він підтверджує відповідність установленим вимогам, із обґрунтуванням свого рішення.)</w:t>
      </w:r>
    </w:p>
    <w:p w:rsidR="00000000" w:rsidDel="00000000" w:rsidP="00000000" w:rsidRDefault="00000000" w:rsidRPr="00000000" w14:paraId="00000019">
      <w:pPr>
        <w:shd w:fill="ffffff" w:val="clear"/>
        <w:spacing w:after="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Якщо замовник посилається в тендерній документації на конкретні маркування, протокол випробувань чи сертифікат, він зобов’язаний прийняти маркування, протоколи випробувань чи сертифікати, що підтверджують відповідність еквівалентним вимогам та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A">
      <w:pPr>
        <w:shd w:fill="ffffff" w:val="clear"/>
        <w:spacing w:after="0" w:before="0" w:line="240" w:lineRule="auto"/>
        <w:ind w:firstLine="46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B">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highlight w:val="yellow"/>
          <w:u w:val="single"/>
          <w:rtl w:val="0"/>
        </w:rPr>
        <w:t xml:space="preserve">Приклад вимоги щодо локалізації виробництва:</w:t>
      </w:r>
      <w:r w:rsidDel="00000000" w:rsidR="00000000" w:rsidRPr="00000000">
        <w:rPr>
          <w:rtl w:val="0"/>
        </w:rPr>
      </w:r>
    </w:p>
    <w:p w:rsidR="00000000" w:rsidDel="00000000" w:rsidP="00000000" w:rsidRDefault="00000000" w:rsidRPr="00000000" w14:paraId="0000001C">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У разі здійснення замовником закупівлі робіт чи послуг, якщо виконання таких робіт чи надання послуг передбачає набуття замовником у власність товару, визначеного пунктом 6–1 розділу X «Прикінцеві та перехідні положення» Закону, вартість якого у складі предмета закупівлі дорівнює або перевищує вартісні межі, визначені абзацом першим пункту 6-1 розділу X «Прикінцеві та перехідні положення» Закону, закупівля таких робіт чи послуг здійснюється з урахуванням особливостей, установлених пунктом 6-1 розділу X «Прикінцеві та перехідні положення» Закону.</w:t>
      </w:r>
    </w:p>
    <w:p w:rsidR="00000000" w:rsidDel="00000000" w:rsidP="00000000" w:rsidRDefault="00000000" w:rsidRPr="00000000" w14:paraId="0000001D">
      <w:pPr>
        <w:shd w:fill="ffffff" w:val="clear"/>
        <w:spacing w:after="0" w:before="0" w:line="240" w:lineRule="auto"/>
        <w:ind w:firstLine="4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Відповідно до пункту 6-1 Прикінцевих та перехідних положень Закону замовник здійснює закупівлю товарів, визначених підпунктом 2 цього пункту або додатковим переліком, затвердженим Кабінетом Міністрів України </w:t>
      </w:r>
      <w:r w:rsidDel="00000000" w:rsidR="00000000" w:rsidRPr="00000000">
        <w:rPr>
          <w:rFonts w:ascii="Times New Roman" w:cs="Times New Roman" w:eastAsia="Times New Roman" w:hAnsi="Times New Roman"/>
          <w:i w:val="1"/>
          <w:sz w:val="24"/>
          <w:szCs w:val="24"/>
          <w:highlight w:val="yellow"/>
          <w:rtl w:val="0"/>
        </w:rPr>
        <w:t xml:space="preserve">(у разі його затвердження)</w:t>
      </w:r>
      <w:r w:rsidDel="00000000" w:rsidR="00000000" w:rsidRPr="00000000">
        <w:rPr>
          <w:rFonts w:ascii="Times New Roman" w:cs="Times New Roman" w:eastAsia="Times New Roman" w:hAnsi="Times New Roman"/>
          <w:sz w:val="24"/>
          <w:szCs w:val="24"/>
          <w:highlight w:val="yellow"/>
          <w:rtl w:val="0"/>
        </w:rPr>
        <w:t xml:space="preserve">, виключно якщо їх ступінь локалізації виробництва дорівнює чи перевищує</w:t>
      </w:r>
      <w:r w:rsidDel="00000000" w:rsidR="00000000" w:rsidRPr="00000000">
        <w:rPr>
          <w:rFonts w:ascii="Times New Roman" w:cs="Times New Roman" w:eastAsia="Times New Roman" w:hAnsi="Times New Roman"/>
          <w:i w:val="1"/>
          <w:sz w:val="24"/>
          <w:szCs w:val="24"/>
          <w:highlight w:val="yellow"/>
          <w:rtl w:val="0"/>
        </w:rPr>
        <w:t xml:space="preserve"> </w:t>
      </w:r>
      <w:r w:rsidDel="00000000" w:rsidR="00000000" w:rsidRPr="00000000">
        <w:rPr>
          <w:rFonts w:ascii="Times New Roman" w:cs="Times New Roman" w:eastAsia="Times New Roman" w:hAnsi="Times New Roman"/>
          <w:sz w:val="23"/>
          <w:szCs w:val="23"/>
          <w:highlight w:val="yellow"/>
          <w:rtl w:val="0"/>
        </w:rPr>
        <w:t xml:space="preserve">ступінь локалізації на відповідний рік згідно з підпунктом 1 пункту 6-1 Прикінцевих та перехідних положень Закону</w:t>
      </w:r>
      <w:r w:rsidDel="00000000" w:rsidR="00000000" w:rsidRPr="00000000">
        <w:rPr>
          <w:rFonts w:ascii="Times New Roman" w:cs="Times New Roman" w:eastAsia="Times New Roman" w:hAnsi="Times New Roman"/>
          <w:sz w:val="24"/>
          <w:szCs w:val="24"/>
          <w:highlight w:val="yellow"/>
          <w:rtl w:val="0"/>
        </w:rPr>
        <w:t xml:space="preserve">.</w:t>
      </w:r>
      <w:r w:rsidDel="00000000" w:rsidR="00000000" w:rsidRPr="00000000">
        <w:rPr>
          <w:rtl w:val="0"/>
        </w:rPr>
      </w:r>
    </w:p>
    <w:p w:rsidR="00000000" w:rsidDel="00000000" w:rsidP="00000000" w:rsidRDefault="00000000" w:rsidRPr="00000000" w14:paraId="0000001E">
      <w:pPr>
        <w:shd w:fill="ffffff" w:val="clear"/>
        <w:spacing w:after="0" w:before="0" w:line="240" w:lineRule="auto"/>
        <w:ind w:firstLine="46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Згідно з абзацом 9 підпункту 1 пункту 6-1 Прикінцевих та перехідних положень Закону ступінь локалізації виробництва визначається самостійно виробником такого товару та підтверджується Уповноваженим органом у порядку, встановленому Кабінетом Міністрів України. Таким порядком є Порядок підтвердження локалізації виробництва товарів, затверджений постановою Кабінету Міністрів України від 02.08.2022 № 861.</w:t>
      </w:r>
    </w:p>
    <w:p w:rsidR="00000000" w:rsidDel="00000000" w:rsidP="00000000" w:rsidRDefault="00000000" w:rsidRPr="00000000" w14:paraId="0000001F">
      <w:pPr>
        <w:shd w:fill="ffffff" w:val="clear"/>
        <w:spacing w:after="0" w:before="0" w:line="240" w:lineRule="auto"/>
        <w:ind w:firstLine="72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Товар, який визначений підпунктом 2 пункту 6-1 Прикінцевих та перехідних положень Закону,  та який замовник набуде у власність в результаті виконання робіт чи надання послуг, які є предметом закупівлі, та який пропонується учасником процедури закупівлі, повинен мати локалізацію виробництва товарів, на _______ рік </w:t>
      </w:r>
      <w:r w:rsidDel="00000000" w:rsidR="00000000" w:rsidRPr="00000000">
        <w:rPr>
          <w:rFonts w:ascii="Times New Roman" w:cs="Times New Roman" w:eastAsia="Times New Roman" w:hAnsi="Times New Roman"/>
          <w:i w:val="1"/>
          <w:sz w:val="24"/>
          <w:szCs w:val="24"/>
          <w:highlight w:val="yellow"/>
          <w:rtl w:val="0"/>
        </w:rPr>
        <w:t xml:space="preserve">(зазначити рік</w:t>
      </w:r>
      <w:r w:rsidDel="00000000" w:rsidR="00000000" w:rsidRPr="00000000">
        <w:rPr>
          <w:rFonts w:ascii="Times New Roman" w:cs="Times New Roman" w:eastAsia="Times New Roman" w:hAnsi="Times New Roman"/>
          <w:sz w:val="24"/>
          <w:szCs w:val="24"/>
          <w:highlight w:val="yellow"/>
          <w:rtl w:val="0"/>
        </w:rPr>
        <w:t xml:space="preserve">), ВІДПОВІДНО ДО ВИМОГ, ВСТАНОВЛЕНИХ постановою Кабінету Міністрів України від 02.08.2022 № 861.</w:t>
      </w:r>
    </w:p>
    <w:p w:rsidR="00000000" w:rsidDel="00000000" w:rsidP="00000000" w:rsidRDefault="00000000" w:rsidRPr="00000000" w14:paraId="00000020">
      <w:pPr>
        <w:shd w:fill="ffffff" w:val="clea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hd w:fill="ffffff" w:val="clear"/>
        <w:spacing w:after="0"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Обґрунтування необхідності закупівлі даного виду </w:t>
      </w:r>
      <w:r w:rsidDel="00000000" w:rsidR="00000000" w:rsidRPr="00000000">
        <w:rPr>
          <w:rFonts w:ascii="Times New Roman" w:cs="Times New Roman" w:eastAsia="Times New Roman" w:hAnsi="Times New Roman"/>
          <w:color w:val="ff0000"/>
          <w:sz w:val="24"/>
          <w:szCs w:val="24"/>
          <w:highlight w:val="yellow"/>
          <w:rtl w:val="0"/>
        </w:rPr>
        <w:t xml:space="preserve">послуг/  робіт</w:t>
      </w:r>
      <w:r w:rsidDel="00000000" w:rsidR="00000000" w:rsidRPr="00000000">
        <w:rPr>
          <w:rFonts w:ascii="Times New Roman" w:cs="Times New Roman" w:eastAsia="Times New Roman" w:hAnsi="Times New Roman"/>
          <w:sz w:val="24"/>
          <w:szCs w:val="24"/>
          <w:rtl w:val="0"/>
        </w:rPr>
        <w:t xml:space="preserve"> — замовник здійснює закупівлю даного виду </w:t>
      </w:r>
      <w:r w:rsidDel="00000000" w:rsidR="00000000" w:rsidRPr="00000000">
        <w:rPr>
          <w:rFonts w:ascii="Times New Roman" w:cs="Times New Roman" w:eastAsia="Times New Roman" w:hAnsi="Times New Roman"/>
          <w:color w:val="ff0000"/>
          <w:sz w:val="24"/>
          <w:szCs w:val="24"/>
          <w:highlight w:val="yellow"/>
          <w:rtl w:val="0"/>
        </w:rPr>
        <w:t xml:space="preserve">послуг/  робіт</w:t>
      </w:r>
      <w:r w:rsidDel="00000000" w:rsidR="00000000" w:rsidRPr="00000000">
        <w:rPr>
          <w:rFonts w:ascii="Times New Roman" w:cs="Times New Roman" w:eastAsia="Times New Roman" w:hAnsi="Times New Roman"/>
          <w:sz w:val="24"/>
          <w:szCs w:val="24"/>
          <w:rtl w:val="0"/>
        </w:rPr>
        <w:t xml:space="preserve">, оскільки вони за своїми якісними та технічними характеристиками найбільше відповідають потребам та вимогам замовника.  </w:t>
      </w:r>
      <w:r w:rsidDel="00000000" w:rsidR="00000000" w:rsidRPr="00000000">
        <w:rPr>
          <w:rtl w:val="0"/>
        </w:rPr>
      </w:r>
    </w:p>
    <w:p w:rsidR="00000000" w:rsidDel="00000000" w:rsidP="00000000" w:rsidRDefault="00000000" w:rsidRPr="00000000" w14:paraId="00000022">
      <w:pPr>
        <w:spacing w:after="0" w:line="240" w:lineRule="auto"/>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Детальний опис предмета закупівлі:</w:t>
      </w:r>
    </w:p>
    <w:tbl>
      <w:tblPr>
        <w:tblStyle w:val="Table1"/>
        <w:tblW w:w="963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19.5"/>
        <w:gridCol w:w="4819.5"/>
        <w:tblGridChange w:id="0">
          <w:tblGrid>
            <w:gridCol w:w="4819.5"/>
            <w:gridCol w:w="481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Назва предмета закупівлі</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Код ДК 021:2015 Єдиного закупівельного словника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line="240" w:lineRule="auto"/>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Назва </w:t>
            </w:r>
            <w:r w:rsidDel="00000000" w:rsidR="00000000" w:rsidRPr="00000000">
              <w:rPr>
                <w:rFonts w:ascii="Times New Roman" w:cs="Times New Roman" w:eastAsia="Times New Roman" w:hAnsi="Times New Roman"/>
                <w:color w:val="ff0000"/>
                <w:sz w:val="24"/>
                <w:szCs w:val="24"/>
                <w:highlight w:val="yellow"/>
                <w:rtl w:val="0"/>
              </w:rPr>
              <w:t xml:space="preserve">послуги</w:t>
            </w:r>
            <w:r w:rsidDel="00000000" w:rsidR="00000000" w:rsidRPr="00000000">
              <w:rPr>
                <w:rFonts w:ascii="Times New Roman" w:cs="Times New Roman" w:eastAsia="Times New Roman" w:hAnsi="Times New Roman"/>
                <w:sz w:val="24"/>
                <w:szCs w:val="24"/>
                <w:highlight w:val="white"/>
                <w:rtl w:val="0"/>
              </w:rPr>
              <w:t xml:space="preserve"> номенклатурної позиції предмета закупівлі та код </w:t>
            </w:r>
            <w:r w:rsidDel="00000000" w:rsidR="00000000" w:rsidRPr="00000000">
              <w:rPr>
                <w:rFonts w:ascii="Times New Roman" w:cs="Times New Roman" w:eastAsia="Times New Roman" w:hAnsi="Times New Roman"/>
                <w:color w:val="ff0000"/>
                <w:sz w:val="24"/>
                <w:szCs w:val="24"/>
                <w:highlight w:val="yellow"/>
                <w:rtl w:val="0"/>
              </w:rPr>
              <w:t xml:space="preserve">послуги</w:t>
            </w:r>
            <w:r w:rsidDel="00000000" w:rsidR="00000000" w:rsidRPr="00000000">
              <w:rPr>
                <w:rFonts w:ascii="Times New Roman" w:cs="Times New Roman" w:eastAsia="Times New Roman" w:hAnsi="Times New Roman"/>
                <w:sz w:val="24"/>
                <w:szCs w:val="24"/>
                <w:highlight w:val="white"/>
                <w:rtl w:val="0"/>
              </w:rPr>
              <w:t xml:space="preserve">, визначений згідно з Єдиним закупівельним словником, що найбільше відповідає назві номенклатурної позиції предмета закупівлі </w:t>
            </w:r>
            <w:r w:rsidDel="00000000" w:rsidR="00000000" w:rsidRPr="00000000">
              <w:rPr>
                <w:rFonts w:ascii="Times New Roman" w:cs="Times New Roman" w:eastAsia="Times New Roman" w:hAnsi="Times New Roman"/>
                <w:i w:val="1"/>
                <w:color w:val="ff0000"/>
                <w:sz w:val="24"/>
                <w:szCs w:val="24"/>
                <w:highlight w:val="yellow"/>
                <w:rtl w:val="0"/>
              </w:rPr>
              <w:t xml:space="preserve">(зазначається у разі закупівлі послуг)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Times New Roman" w:cs="Times New Roman" w:eastAsia="Times New Roman" w:hAnsi="Times New Roman"/>
                <w:color w:val="ff0000"/>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Місце </w:t>
            </w:r>
            <w:r w:rsidDel="00000000" w:rsidR="00000000" w:rsidRPr="00000000">
              <w:rPr>
                <w:rFonts w:ascii="Times New Roman" w:cs="Times New Roman" w:eastAsia="Times New Roman" w:hAnsi="Times New Roman"/>
                <w:color w:val="ff0000"/>
                <w:sz w:val="24"/>
                <w:szCs w:val="24"/>
                <w:highlight w:val="yellow"/>
                <w:rtl w:val="0"/>
              </w:rPr>
              <w:t xml:space="preserve">надання послуг/ виконання робіт</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after="0" w:line="240" w:lineRule="auto"/>
              <w:rPr>
                <w:rFonts w:ascii="Times New Roman" w:cs="Times New Roman" w:eastAsia="Times New Roman" w:hAnsi="Times New Roman"/>
                <w:color w:val="ff0000"/>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Строк надання </w:t>
            </w:r>
            <w:r w:rsidDel="00000000" w:rsidR="00000000" w:rsidRPr="00000000">
              <w:rPr>
                <w:rFonts w:ascii="Times New Roman" w:cs="Times New Roman" w:eastAsia="Times New Roman" w:hAnsi="Times New Roman"/>
                <w:color w:val="ff0000"/>
                <w:sz w:val="24"/>
                <w:szCs w:val="24"/>
                <w:highlight w:val="yellow"/>
                <w:rtl w:val="0"/>
              </w:rPr>
              <w:t xml:space="preserve">послуг/ виконання робіт</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line="240" w:lineRule="auto"/>
              <w:rPr>
                <w:rFonts w:ascii="Times New Roman" w:cs="Times New Roman" w:eastAsia="Times New Roman" w:hAnsi="Times New Roman"/>
                <w:color w:val="ff0000"/>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Обсяг (кількість) </w:t>
            </w:r>
            <w:r w:rsidDel="00000000" w:rsidR="00000000" w:rsidRPr="00000000">
              <w:rPr>
                <w:rFonts w:ascii="Times New Roman" w:cs="Times New Roman" w:eastAsia="Times New Roman" w:hAnsi="Times New Roman"/>
                <w:color w:val="ff0000"/>
                <w:sz w:val="24"/>
                <w:szCs w:val="24"/>
                <w:highlight w:val="yellow"/>
                <w:rtl w:val="0"/>
              </w:rPr>
              <w:t xml:space="preserve">надання послуг/ виконання робіт</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i w:val="1"/>
                <w:sz w:val="24"/>
                <w:szCs w:val="24"/>
                <w:highlight w:val="yellow"/>
                <w:rtl w:val="0"/>
              </w:rPr>
              <w:t xml:space="preserve">___ </w:t>
            </w:r>
            <w:r w:rsidDel="00000000" w:rsidR="00000000" w:rsidRPr="00000000">
              <w:rPr>
                <w:rFonts w:ascii="Times New Roman" w:cs="Times New Roman" w:eastAsia="Times New Roman" w:hAnsi="Times New Roman"/>
                <w:i w:val="1"/>
                <w:color w:val="ff0000"/>
                <w:sz w:val="24"/>
                <w:szCs w:val="24"/>
                <w:highlight w:val="yellow"/>
                <w:rtl w:val="0"/>
              </w:rPr>
              <w:t xml:space="preserve">послуга / робота</w:t>
            </w:r>
            <w:r w:rsidDel="00000000" w:rsidR="00000000" w:rsidRPr="00000000">
              <w:rPr>
                <w:rFonts w:ascii="Times New Roman" w:cs="Times New Roman" w:eastAsia="Times New Roman" w:hAnsi="Times New Roman"/>
                <w:i w:val="1"/>
                <w:sz w:val="24"/>
                <w:szCs w:val="24"/>
                <w:highlight w:val="yellow"/>
                <w:rtl w:val="0"/>
              </w:rPr>
              <w:t xml:space="preserve">  / </w:t>
            </w:r>
            <w:r w:rsidDel="00000000" w:rsidR="00000000" w:rsidRPr="00000000">
              <w:rPr>
                <w:rFonts w:ascii="Times New Roman" w:cs="Times New Roman" w:eastAsia="Times New Roman" w:hAnsi="Times New Roman"/>
                <w:i w:val="1"/>
                <w:color w:val="ff0000"/>
                <w:sz w:val="24"/>
                <w:szCs w:val="24"/>
                <w:highlight w:val="yellow"/>
                <w:rtl w:val="0"/>
              </w:rPr>
              <w:t xml:space="preserve">згідно з пунктом ___</w:t>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60" w:before="0" w:line="259" w:lineRule="auto"/>
        <w:ind w:left="0" w:right="0" w:firstLine="0"/>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59.2000000000001" w:lineRule="auto"/>
        <w:ind w:left="0" w:right="0" w:firstLine="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sz w:val="24"/>
          <w:szCs w:val="24"/>
          <w:highlight w:val="white"/>
          <w:rtl w:val="0"/>
        </w:rPr>
        <w:t xml:space="preserve">2. </w:t>
      </w:r>
      <w:r w:rsidDel="00000000" w:rsidR="00000000" w:rsidRPr="00000000">
        <w:rPr>
          <w:rFonts w:ascii="Times New Roman" w:cs="Times New Roman" w:eastAsia="Times New Roman" w:hAnsi="Times New Roman"/>
          <w:b w:val="1"/>
          <w:sz w:val="24"/>
          <w:szCs w:val="24"/>
          <w:rtl w:val="0"/>
        </w:rPr>
        <w:t xml:space="preserve">Вимоги щодо якості предмета закупівлі: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59.2000000000001" w:lineRule="auto"/>
        <w:ind w:left="0" w:right="0" w:firstLine="0"/>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33">
      <w:pPr>
        <w:widowControl w:val="0"/>
        <w:spacing w:after="0" w:line="240" w:lineRule="auto"/>
        <w:ind w:right="113"/>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3. Вимоги до учасника:</w:t>
      </w:r>
    </w:p>
    <w:p w:rsidR="00000000" w:rsidDel="00000000" w:rsidP="00000000" w:rsidRDefault="00000000" w:rsidRPr="00000000" w14:paraId="00000034">
      <w:pPr>
        <w:widowControl w:val="0"/>
        <w:spacing w:after="0" w:line="240" w:lineRule="auto"/>
        <w:ind w:right="113"/>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5">
      <w:pPr>
        <w:widowControl w:val="0"/>
        <w:spacing w:after="0" w:line="240" w:lineRule="auto"/>
        <w:ind w:right="113"/>
        <w:jc w:val="both"/>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3.1. Договірна ціна є </w:t>
      </w:r>
      <w:r w:rsidDel="00000000" w:rsidR="00000000" w:rsidRPr="00000000">
        <w:rPr>
          <w:rFonts w:ascii="Times New Roman" w:cs="Times New Roman" w:eastAsia="Times New Roman" w:hAnsi="Times New Roman"/>
          <w:sz w:val="24"/>
          <w:szCs w:val="24"/>
          <w:highlight w:val="yellow"/>
          <w:rtl w:val="0"/>
        </w:rPr>
        <w:t xml:space="preserve">_</w:t>
      </w:r>
      <w:r w:rsidDel="00000000" w:rsidR="00000000" w:rsidRPr="00000000">
        <w:rPr>
          <w:rFonts w:ascii="Times New Roman" w:cs="Times New Roman" w:eastAsia="Times New Roman" w:hAnsi="Times New Roman"/>
          <w:color w:val="ff0000"/>
          <w:sz w:val="24"/>
          <w:szCs w:val="24"/>
          <w:highlight w:val="yellow"/>
          <w:rtl w:val="0"/>
        </w:rPr>
        <w:t xml:space="preserve">_________ </w:t>
      </w:r>
      <w:r w:rsidDel="00000000" w:rsidR="00000000" w:rsidRPr="00000000">
        <w:rPr>
          <w:rFonts w:ascii="Times New Roman" w:cs="Times New Roman" w:eastAsia="Times New Roman" w:hAnsi="Times New Roman"/>
          <w:i w:val="1"/>
          <w:color w:val="ff0000"/>
          <w:sz w:val="24"/>
          <w:szCs w:val="24"/>
          <w:highlight w:val="yellow"/>
          <w:rtl w:val="0"/>
        </w:rPr>
        <w:t xml:space="preserve">(зазначити якою є договірна ціна).</w:t>
      </w:r>
      <w:r w:rsidDel="00000000" w:rsidR="00000000" w:rsidRPr="00000000">
        <w:rPr>
          <w:rtl w:val="0"/>
        </w:rPr>
      </w:r>
    </w:p>
    <w:p w:rsidR="00000000" w:rsidDel="00000000" w:rsidP="00000000" w:rsidRDefault="00000000" w:rsidRPr="00000000" w14:paraId="00000036">
      <w:pPr>
        <w:widowControl w:val="0"/>
        <w:spacing w:after="0" w:line="240" w:lineRule="auto"/>
        <w:ind w:right="113"/>
        <w:jc w:val="both"/>
        <w:rPr>
          <w:rFonts w:ascii="Times New Roman" w:cs="Times New Roman" w:eastAsia="Times New Roman" w:hAnsi="Times New Roman"/>
          <w:i w:val="1"/>
          <w:color w:val="ff0000"/>
          <w:sz w:val="24"/>
          <w:szCs w:val="24"/>
          <w:highlight w:val="white"/>
        </w:rPr>
      </w:pPr>
      <w:r w:rsidDel="00000000" w:rsidR="00000000" w:rsidRPr="00000000">
        <w:rPr>
          <w:rtl w:val="0"/>
        </w:rPr>
      </w:r>
    </w:p>
    <w:p w:rsidR="00000000" w:rsidDel="00000000" w:rsidP="00000000" w:rsidRDefault="00000000" w:rsidRPr="00000000" w14:paraId="00000037">
      <w:pPr>
        <w:widowControl w:val="0"/>
        <w:spacing w:after="0" w:line="240" w:lineRule="auto"/>
        <w:ind w:right="113"/>
        <w:jc w:val="both"/>
        <w:rPr>
          <w:rFonts w:ascii="Times New Roman" w:cs="Times New Roman" w:eastAsia="Times New Roman" w:hAnsi="Times New Roman"/>
          <w:i w:val="1"/>
          <w:color w:val="ff0000"/>
          <w:sz w:val="24"/>
          <w:szCs w:val="24"/>
          <w:highlight w:val="white"/>
        </w:rPr>
      </w:pPr>
      <w:r w:rsidDel="00000000" w:rsidR="00000000" w:rsidRPr="00000000">
        <w:rPr>
          <w:rFonts w:ascii="Times New Roman" w:cs="Times New Roman" w:eastAsia="Times New Roman" w:hAnsi="Times New Roman"/>
          <w:i w:val="1"/>
          <w:sz w:val="24"/>
          <w:szCs w:val="24"/>
          <w:highlight w:val="yellow"/>
          <w:rtl w:val="0"/>
        </w:rPr>
        <w:t xml:space="preserve">3.2. Учасник до ціни тендерної пропозиції повинен включити  придбання устаткування, меблів та інвентарю (у разі включення в проєктну документацію)</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i w:val="1"/>
          <w:sz w:val="24"/>
          <w:szCs w:val="24"/>
          <w:highlight w:val="yellow"/>
          <w:rtl w:val="0"/>
        </w:rPr>
        <w:t xml:space="preserve">які передбачені  згідно з </w:t>
      </w:r>
      <w:r w:rsidDel="00000000" w:rsidR="00000000" w:rsidRPr="00000000">
        <w:rPr>
          <w:rFonts w:ascii="Times New Roman" w:cs="Times New Roman" w:eastAsia="Times New Roman" w:hAnsi="Times New Roman"/>
          <w:i w:val="1"/>
          <w:color w:val="ff0000"/>
          <w:sz w:val="24"/>
          <w:szCs w:val="24"/>
          <w:highlight w:val="yellow"/>
          <w:rtl w:val="0"/>
        </w:rPr>
        <w:t xml:space="preserve">_________</w:t>
      </w:r>
      <w:r w:rsidDel="00000000" w:rsidR="00000000" w:rsidRPr="00000000">
        <w:rPr>
          <w:rFonts w:ascii="Times New Roman" w:cs="Times New Roman" w:eastAsia="Times New Roman" w:hAnsi="Times New Roman"/>
          <w:i w:val="1"/>
          <w:color w:val="ff0000"/>
          <w:sz w:val="24"/>
          <w:szCs w:val="24"/>
          <w:highlight w:val="white"/>
          <w:rtl w:val="0"/>
        </w:rPr>
        <w:t xml:space="preserve">.</w:t>
      </w:r>
    </w:p>
    <w:p w:rsidR="00000000" w:rsidDel="00000000" w:rsidP="00000000" w:rsidRDefault="00000000" w:rsidRPr="00000000" w14:paraId="00000038">
      <w:pPr>
        <w:widowControl w:val="0"/>
        <w:spacing w:after="0" w:line="240" w:lineRule="auto"/>
        <w:ind w:right="113"/>
        <w:jc w:val="both"/>
        <w:rPr>
          <w:rFonts w:ascii="Times New Roman" w:cs="Times New Roman" w:eastAsia="Times New Roman" w:hAnsi="Times New Roman"/>
          <w:i w:val="1"/>
          <w:color w:val="ff0000"/>
          <w:sz w:val="24"/>
          <w:szCs w:val="24"/>
          <w:highlight w:val="white"/>
        </w:rPr>
      </w:pPr>
      <w:r w:rsidDel="00000000" w:rsidR="00000000" w:rsidRPr="00000000">
        <w:rPr>
          <w:rtl w:val="0"/>
        </w:rPr>
      </w:r>
    </w:p>
    <w:p w:rsidR="00000000" w:rsidDel="00000000" w:rsidP="00000000" w:rsidRDefault="00000000" w:rsidRPr="00000000" w14:paraId="00000039">
      <w:pPr>
        <w:widowControl w:val="0"/>
        <w:spacing w:after="0" w:line="240" w:lineRule="auto"/>
        <w:ind w:right="113"/>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i w:val="1"/>
          <w:color w:val="ff0000"/>
          <w:sz w:val="24"/>
          <w:szCs w:val="24"/>
          <w:highlight w:val="white"/>
          <w:rtl w:val="0"/>
        </w:rPr>
        <w:t xml:space="preserve">3</w:t>
      </w:r>
      <w:r w:rsidDel="00000000" w:rsidR="00000000" w:rsidRPr="00000000">
        <w:rPr>
          <w:rFonts w:ascii="Times New Roman" w:cs="Times New Roman" w:eastAsia="Times New Roman" w:hAnsi="Times New Roman"/>
          <w:i w:val="1"/>
          <w:color w:val="ff0000"/>
          <w:sz w:val="24"/>
          <w:szCs w:val="24"/>
          <w:highlight w:val="yellow"/>
          <w:rtl w:val="0"/>
        </w:rPr>
        <w:t xml:space="preserve">.3. Увага!!! У разі якщо затвердженою проектною документацією Замовника передбачені кошти на покриття додаткових витрат, пов’язаних з інфляційними процесами, Замовник може враховувати їх в очікуваній вартості та встановлювати вимоги щодо обов’язковості їх передбачення у складі договірної ціни. </w:t>
      </w:r>
    </w:p>
    <w:p w:rsidR="00000000" w:rsidDel="00000000" w:rsidP="00000000" w:rsidRDefault="00000000" w:rsidRPr="00000000" w14:paraId="0000003A">
      <w:pPr>
        <w:widowControl w:val="0"/>
        <w:spacing w:after="0" w:line="240" w:lineRule="auto"/>
        <w:ind w:right="113" w:firstLine="423"/>
        <w:jc w:val="both"/>
        <w:rPr>
          <w:rFonts w:ascii="Times New Roman" w:cs="Times New Roman" w:eastAsia="Times New Roman" w:hAnsi="Times New Roman"/>
          <w:i w:val="1"/>
          <w:color w:val="ff0000"/>
          <w:sz w:val="24"/>
          <w:szCs w:val="24"/>
          <w:highlight w:val="white"/>
        </w:rPr>
      </w:pPr>
      <w:r w:rsidDel="00000000" w:rsidR="00000000" w:rsidRPr="00000000">
        <w:rPr>
          <w:rFonts w:ascii="Times New Roman" w:cs="Times New Roman" w:eastAsia="Times New Roman" w:hAnsi="Times New Roman"/>
          <w:i w:val="1"/>
          <w:color w:val="ff0000"/>
          <w:sz w:val="24"/>
          <w:szCs w:val="24"/>
          <w:highlight w:val="yellow"/>
          <w:rtl w:val="0"/>
        </w:rPr>
        <w:t xml:space="preserve">Порядок використання таких коштів має бути передбачений в проекті договору про закупівлю.</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59.2000000000001"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widowControl w:val="0"/>
        <w:spacing w:after="0" w:line="240" w:lineRule="auto"/>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sz w:val="24"/>
          <w:szCs w:val="24"/>
          <w:highlight w:val="white"/>
          <w:rtl w:val="0"/>
        </w:rPr>
        <w:t xml:space="preserve">4. Технічні, якісні та кількісні характеристики предмета закупівлі:</w:t>
      </w:r>
      <w:r w:rsidDel="00000000" w:rsidR="00000000" w:rsidRPr="00000000">
        <w:rPr>
          <w:rFonts w:ascii="Times New Roman" w:cs="Times New Roman" w:eastAsia="Times New Roman" w:hAnsi="Times New Roman"/>
          <w:b w:val="1"/>
          <w:color w:val="ff0000"/>
          <w:sz w:val="24"/>
          <w:szCs w:val="24"/>
          <w:highlight w:val="yellow"/>
          <w:rtl w:val="0"/>
        </w:rPr>
        <w:t xml:space="preserve">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D">
      <w:pPr>
        <w:spacing w:after="0" w:line="240" w:lineRule="auto"/>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4.1. 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Ukraine Facility, ратифікованої Законом України від 06.06.2024 № 3786-IX, товар та матеріальні ресурси у складі закупівель робіт чи послуг, які буде поставлено; на об'єктах, на яких будуть виконуватись роботи / надаватись послуги, має міститись емблема Європейського Союзу та напис «</w:t>
      </w:r>
      <w:r w:rsidDel="00000000" w:rsidR="00000000" w:rsidRPr="00000000">
        <w:rPr>
          <w:rFonts w:ascii="Times New Roman" w:cs="Times New Roman" w:eastAsia="Times New Roman" w:hAnsi="Times New Roman"/>
          <w:sz w:val="24"/>
          <w:szCs w:val="24"/>
          <w:highlight w:val="yellow"/>
          <w:rtl w:val="0"/>
        </w:rPr>
        <w:t xml:space="preserve">Фінансується Європейським Союзом — Ukraine Facility</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yellow"/>
          <w:rtl w:val="0"/>
        </w:rPr>
        <w:t xml:space="preserve"> АБО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yellow"/>
          <w:rtl w:val="0"/>
        </w:rPr>
        <w:t xml:space="preserve">Співфінансується Європейським Союзом — Ukraine Facility</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i w:val="1"/>
          <w:sz w:val="24"/>
          <w:szCs w:val="24"/>
          <w:highlight w:val="yellow"/>
          <w:rtl w:val="0"/>
        </w:rPr>
        <w:t xml:space="preserve">(вибрати замовнику)</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3E">
      <w:pPr>
        <w:spacing w:after="0" w:line="240" w:lineRule="auto"/>
        <w:ind w:firstLine="720"/>
        <w:jc w:val="both"/>
        <w:rPr>
          <w:rFonts w:ascii="Arial" w:cs="Arial" w:eastAsia="Arial" w:hAnsi="Arial"/>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Напис «Фінансується Європейським Союзом» або «Співфінансується Європейським Союзом» завжди повинен бути вказаний 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Arial, Auto, Calibri, Garamond, Tahoma, Trebuchet, Ubuntu та Verdana.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7">
        <w:r w:rsidDel="00000000" w:rsidR="00000000" w:rsidRPr="00000000">
          <w:rPr>
            <w:rFonts w:ascii="Times New Roman" w:cs="Times New Roman" w:eastAsia="Times New Roman" w:hAnsi="Times New Roman"/>
            <w:sz w:val="24"/>
            <w:szCs w:val="24"/>
            <w:highlight w:val="white"/>
            <w:rtl w:val="0"/>
          </w:rPr>
          <w:t xml:space="preserve">осібником</w:t>
        </w:r>
      </w:hyperlink>
      <w:r w:rsidDel="00000000" w:rsidR="00000000" w:rsidRPr="00000000">
        <w:rPr>
          <w:rFonts w:ascii="Times New Roman" w:cs="Times New Roman" w:eastAsia="Times New Roman" w:hAnsi="Times New Roman"/>
          <w:sz w:val="24"/>
          <w:szCs w:val="24"/>
          <w:highlight w:val="white"/>
          <w:rtl w:val="0"/>
        </w:rPr>
        <w:t xml:space="preserve"> «Використання емблеми ЄС у контексті програм ЄС 2021-2027».</w:t>
      </w:r>
      <w:r w:rsidDel="00000000" w:rsidR="00000000" w:rsidRPr="00000000">
        <w:rPr>
          <w:rtl w:val="0"/>
        </w:rPr>
      </w:r>
    </w:p>
    <w:p w:rsidR="00000000" w:rsidDel="00000000" w:rsidP="00000000" w:rsidRDefault="00000000" w:rsidRPr="00000000" w14:paraId="0000003F">
      <w:pPr>
        <w:widowControl w:val="0"/>
        <w:spacing w:after="0" w:line="240" w:lineRule="auto"/>
        <w:ind w:left="0" w:right="113" w:firstLine="0"/>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40">
      <w:pPr>
        <w:tabs>
          <w:tab w:val="left" w:leader="none" w:pos="698.0000000000002"/>
        </w:tabs>
        <w:spacing w:after="0" w:before="0" w:line="259.2000000000001"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Найменування, обсяг </w:t>
      </w:r>
      <w:r w:rsidDel="00000000" w:rsidR="00000000" w:rsidRPr="00000000">
        <w:rPr>
          <w:rFonts w:ascii="Times New Roman" w:cs="Times New Roman" w:eastAsia="Times New Roman" w:hAnsi="Times New Roman"/>
          <w:color w:val="ff0000"/>
          <w:sz w:val="24"/>
          <w:szCs w:val="24"/>
          <w:highlight w:val="yellow"/>
          <w:rtl w:val="0"/>
        </w:rPr>
        <w:t xml:space="preserve">надання послуг/ виконання робіт</w:t>
      </w:r>
      <w:r w:rsidDel="00000000" w:rsidR="00000000" w:rsidRPr="00000000">
        <w:rPr>
          <w:rFonts w:ascii="Times New Roman" w:cs="Times New Roman" w:eastAsia="Times New Roman" w:hAnsi="Times New Roman"/>
          <w:sz w:val="24"/>
          <w:szCs w:val="24"/>
          <w:rtl w:val="0"/>
        </w:rPr>
        <w:t xml:space="preserve"> наведено нижче: </w:t>
      </w:r>
      <w:r w:rsidDel="00000000" w:rsidR="00000000" w:rsidRPr="00000000">
        <w:rPr>
          <w:rFonts w:ascii="Times New Roman" w:cs="Times New Roman" w:eastAsia="Times New Roman" w:hAnsi="Times New Roman"/>
          <w:i w:val="1"/>
          <w:color w:val="ff0000"/>
          <w:sz w:val="24"/>
          <w:szCs w:val="24"/>
          <w:highlight w:val="yellow"/>
          <w:rtl w:val="0"/>
        </w:rPr>
        <w:t xml:space="preserve">(зазначається у разі потреби)</w:t>
      </w:r>
      <w:r w:rsidDel="00000000" w:rsidR="00000000" w:rsidRPr="00000000">
        <w:rPr>
          <w:rtl w:val="0"/>
        </w:rPr>
      </w:r>
    </w:p>
    <w:sectPr>
      <w:pgSz w:h="16838" w:w="11906" w:orient="portrait"/>
      <w:pgMar w:bottom="850" w:top="426"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i w:val="0"/>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A181D"/>
  </w:style>
  <w:style w:type="paragraph" w:styleId="1">
    <w:name w:val="heading 1"/>
    <w:basedOn w:val="a"/>
    <w:next w:val="a"/>
    <w:uiPriority w:val="9"/>
    <w:qFormat w:val="1"/>
    <w:rsid w:val="006D693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rsid w:val="006D693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rsid w:val="006D693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rsid w:val="006D693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rsid w:val="006D6931"/>
    <w:pPr>
      <w:keepNext w:val="1"/>
      <w:keepLines w:val="1"/>
      <w:spacing w:after="40" w:before="220"/>
      <w:outlineLvl w:val="4"/>
    </w:pPr>
    <w:rPr>
      <w:b w:val="1"/>
    </w:rPr>
  </w:style>
  <w:style w:type="paragraph" w:styleId="6">
    <w:name w:val="heading 6"/>
    <w:basedOn w:val="a"/>
    <w:next w:val="a"/>
    <w:uiPriority w:val="9"/>
    <w:semiHidden w:val="1"/>
    <w:unhideWhenUsed w:val="1"/>
    <w:qFormat w:val="1"/>
    <w:rsid w:val="006D693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rsid w:val="006D6931"/>
    <w:tblPr>
      <w:tblCellMar>
        <w:top w:w="0.0" w:type="dxa"/>
        <w:left w:w="0.0" w:type="dxa"/>
        <w:bottom w:w="0.0" w:type="dxa"/>
        <w:right w:w="0.0" w:type="dxa"/>
      </w:tblCellMar>
    </w:tblPr>
  </w:style>
  <w:style w:type="paragraph" w:styleId="a3">
    <w:name w:val="Title"/>
    <w:basedOn w:val="a"/>
    <w:next w:val="a"/>
    <w:uiPriority w:val="10"/>
    <w:qFormat w:val="1"/>
    <w:rsid w:val="006D6931"/>
    <w:pPr>
      <w:keepNext w:val="1"/>
      <w:keepLines w:val="1"/>
      <w:spacing w:after="120" w:before="480"/>
    </w:pPr>
    <w:rPr>
      <w:b w:val="1"/>
      <w:sz w:val="72"/>
      <w:szCs w:val="72"/>
    </w:rPr>
  </w:style>
  <w:style w:type="table" w:styleId="TableNormal0" w:customStyle="1">
    <w:name w:val="Table Normal"/>
    <w:rsid w:val="006D6931"/>
    <w:tblPr>
      <w:tblCellMar>
        <w:top w:w="0.0" w:type="dxa"/>
        <w:left w:w="0.0" w:type="dxa"/>
        <w:bottom w:w="0.0" w:type="dxa"/>
        <w:right w:w="0.0" w:type="dxa"/>
      </w:tblCellMar>
    </w:tblPr>
  </w:style>
  <w:style w:type="table" w:styleId="TableNormal1" w:customStyle="1">
    <w:name w:val="Table Normal"/>
    <w:rsid w:val="006D6931"/>
    <w:tblPr>
      <w:tblCellMar>
        <w:top w:w="0.0" w:type="dxa"/>
        <w:left w:w="0.0" w:type="dxa"/>
        <w:bottom w:w="0.0" w:type="dxa"/>
        <w:right w:w="0.0" w:type="dxa"/>
      </w:tblCellMar>
    </w:tblPr>
  </w:style>
  <w:style w:type="paragraph" w:styleId="a4">
    <w:name w:val="Subtitle"/>
    <w:basedOn w:val="a"/>
    <w:next w:val="a"/>
    <w:rsid w:val="006D693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5" w:customStyle="1">
    <w:basedOn w:val="TableNormal1"/>
    <w:rsid w:val="006D6931"/>
    <w:tblPr>
      <w:tblStyleRowBandSize w:val="1"/>
      <w:tblStyleColBandSize w:val="1"/>
      <w:tblCellMar>
        <w:top w:w="100.0" w:type="dxa"/>
        <w:left w:w="100.0" w:type="dxa"/>
        <w:bottom w:w="100.0" w:type="dxa"/>
        <w:right w:w="100.0" w:type="dxa"/>
      </w:tblCellMar>
    </w:tblPr>
  </w:style>
  <w:style w:type="character" w:styleId="a6">
    <w:name w:val="Hyperlink"/>
    <w:basedOn w:val="a0"/>
    <w:uiPriority w:val="99"/>
    <w:semiHidden w:val="1"/>
    <w:unhideWhenUsed w:val="1"/>
    <w:rsid w:val="0077185F"/>
    <w:rPr>
      <w:color w:val="0000ff"/>
      <w:u w:val="single"/>
    </w:rPr>
  </w:style>
  <w:style w:type="paragraph" w:styleId="rvps2" w:customStyle="1">
    <w:name w:val="rvps2"/>
    <w:basedOn w:val="a"/>
    <w:rsid w:val="00D506D0"/>
    <w:pPr>
      <w:spacing w:after="100" w:afterAutospacing="1" w:before="100" w:beforeAutospacing="1" w:line="240" w:lineRule="auto"/>
    </w:pPr>
    <w:rPr>
      <w:rFonts w:ascii="Times New Roman" w:cs="Times New Roman" w:eastAsia="Times New Roman" w:hAnsi="Times New Roman"/>
      <w:sz w:val="24"/>
      <w:szCs w:val="24"/>
      <w:lang w:val="ru-RU"/>
    </w:rPr>
  </w:style>
  <w:style w:type="table" w:styleId="a7">
    <w:name w:val="Table Grid"/>
    <w:basedOn w:val="a1"/>
    <w:uiPriority w:val="39"/>
    <w:rsid w:val="009E65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8">
    <w:name w:val="annotation reference"/>
    <w:basedOn w:val="a0"/>
    <w:uiPriority w:val="99"/>
    <w:semiHidden w:val="1"/>
    <w:unhideWhenUsed w:val="1"/>
    <w:rsid w:val="00172DAB"/>
    <w:rPr>
      <w:sz w:val="16"/>
      <w:szCs w:val="16"/>
    </w:rPr>
  </w:style>
  <w:style w:type="paragraph" w:styleId="a9">
    <w:name w:val="annotation text"/>
    <w:basedOn w:val="a"/>
    <w:link w:val="aa"/>
    <w:uiPriority w:val="99"/>
    <w:semiHidden w:val="1"/>
    <w:unhideWhenUsed w:val="1"/>
    <w:rsid w:val="00172DAB"/>
    <w:pPr>
      <w:spacing w:line="240" w:lineRule="auto"/>
    </w:pPr>
    <w:rPr>
      <w:sz w:val="20"/>
      <w:szCs w:val="20"/>
    </w:rPr>
  </w:style>
  <w:style w:type="character" w:styleId="aa" w:customStyle="1">
    <w:name w:val="Текст примечания Знак"/>
    <w:basedOn w:val="a0"/>
    <w:link w:val="a9"/>
    <w:uiPriority w:val="99"/>
    <w:semiHidden w:val="1"/>
    <w:rsid w:val="00172DAB"/>
    <w:rPr>
      <w:sz w:val="20"/>
      <w:szCs w:val="20"/>
    </w:rPr>
  </w:style>
  <w:style w:type="paragraph" w:styleId="ab">
    <w:name w:val="annotation subject"/>
    <w:basedOn w:val="a9"/>
    <w:next w:val="a9"/>
    <w:link w:val="ac"/>
    <w:uiPriority w:val="99"/>
    <w:semiHidden w:val="1"/>
    <w:unhideWhenUsed w:val="1"/>
    <w:rsid w:val="00172DAB"/>
    <w:rPr>
      <w:b w:val="1"/>
      <w:bCs w:val="1"/>
    </w:rPr>
  </w:style>
  <w:style w:type="character" w:styleId="ac" w:customStyle="1">
    <w:name w:val="Тема примечания Знак"/>
    <w:basedOn w:val="aa"/>
    <w:link w:val="ab"/>
    <w:uiPriority w:val="99"/>
    <w:semiHidden w:val="1"/>
    <w:rsid w:val="00172DAB"/>
    <w:rPr>
      <w:b w:val="1"/>
      <w:bCs w:val="1"/>
      <w:sz w:val="20"/>
      <w:szCs w:val="20"/>
    </w:rPr>
  </w:style>
  <w:style w:type="paragraph" w:styleId="ad">
    <w:name w:val="Balloon Text"/>
    <w:basedOn w:val="a"/>
    <w:link w:val="ae"/>
    <w:uiPriority w:val="99"/>
    <w:semiHidden w:val="1"/>
    <w:unhideWhenUsed w:val="1"/>
    <w:rsid w:val="00172DAB"/>
    <w:pPr>
      <w:spacing w:after="0" w:line="240" w:lineRule="auto"/>
    </w:pPr>
    <w:rPr>
      <w:rFonts w:ascii="Segoe UI" w:cs="Segoe UI" w:hAnsi="Segoe UI"/>
      <w:sz w:val="18"/>
      <w:szCs w:val="18"/>
    </w:rPr>
  </w:style>
  <w:style w:type="character" w:styleId="ae" w:customStyle="1">
    <w:name w:val="Текст выноски Знак"/>
    <w:basedOn w:val="a0"/>
    <w:link w:val="ad"/>
    <w:uiPriority w:val="99"/>
    <w:semiHidden w:val="1"/>
    <w:rsid w:val="00172DAB"/>
    <w:rPr>
      <w:rFonts w:ascii="Segoe UI" w:cs="Segoe UI" w:hAnsi="Segoe UI"/>
      <w:sz w:val="18"/>
      <w:szCs w:val="18"/>
    </w:rPr>
  </w:style>
  <w:style w:type="table" w:styleId="af" w:customStyle="1">
    <w:basedOn w:val="TableNormal1"/>
    <w:rsid w:val="006D6931"/>
    <w:tblPr>
      <w:tblStyleRowBandSize w:val="1"/>
      <w:tblStyleColBandSize w:val="1"/>
      <w:tblCellMar>
        <w:top w:w="100.0" w:type="dxa"/>
        <w:left w:w="100.0" w:type="dxa"/>
        <w:bottom w:w="100.0" w:type="dxa"/>
        <w:right w:w="100.0" w:type="dxa"/>
      </w:tblCellMar>
    </w:tblPr>
  </w:style>
  <w:style w:type="table" w:styleId="af0" w:customStyle="1">
    <w:basedOn w:val="TableNormal1"/>
    <w:rsid w:val="006D6931"/>
    <w:tblPr>
      <w:tblStyleRowBandSize w:val="1"/>
      <w:tblStyleColBandSize w:val="1"/>
      <w:tblCellMar>
        <w:top w:w="100.0" w:type="dxa"/>
        <w:left w:w="100.0" w:type="dxa"/>
        <w:bottom w:w="100.0" w:type="dxa"/>
        <w:right w:w="100.0" w:type="dxa"/>
      </w:tblCellMar>
    </w:tblPr>
  </w:style>
  <w:style w:type="table" w:styleId="af1" w:customStyle="1">
    <w:basedOn w:val="TableNormal1"/>
    <w:rsid w:val="006D6931"/>
    <w:tblPr>
      <w:tblStyleRowBandSize w:val="1"/>
      <w:tblStyleColBandSize w:val="1"/>
      <w:tblCellMar>
        <w:top w:w="100.0" w:type="dxa"/>
        <w:left w:w="100.0" w:type="dxa"/>
        <w:bottom w:w="100.0" w:type="dxa"/>
        <w:right w:w="100.0" w:type="dxa"/>
      </w:tblCellMar>
    </w:tblPr>
  </w:style>
  <w:style w:type="table" w:styleId="af2" w:customStyle="1">
    <w:basedOn w:val="TableNormal1"/>
    <w:rsid w:val="006D6931"/>
    <w:tblPr>
      <w:tblStyleRowBandSize w:val="1"/>
      <w:tblStyleColBandSize w:val="1"/>
      <w:tblCellMar>
        <w:top w:w="100.0" w:type="dxa"/>
        <w:left w:w="100.0" w:type="dxa"/>
        <w:bottom w:w="100.0" w:type="dxa"/>
        <w:right w:w="100.0" w:type="dxa"/>
      </w:tblCellMar>
    </w:tblPr>
  </w:style>
  <w:style w:type="table" w:styleId="af3" w:customStyle="1">
    <w:basedOn w:val="TableNormal1"/>
    <w:rsid w:val="006D6931"/>
    <w:tblPr>
      <w:tblStyleRowBandSize w:val="1"/>
      <w:tblStyleColBandSize w:val="1"/>
      <w:tblCellMar>
        <w:top w:w="100.0" w:type="dxa"/>
        <w:left w:w="100.0" w:type="dxa"/>
        <w:bottom w:w="100.0" w:type="dxa"/>
        <w:right w:w="100.0" w:type="dxa"/>
      </w:tblCellMar>
    </w:tblPr>
  </w:style>
  <w:style w:type="table" w:styleId="af4" w:customStyle="1">
    <w:basedOn w:val="TableNormal1"/>
    <w:rsid w:val="006D6931"/>
    <w:tblPr>
      <w:tblStyleRowBandSize w:val="1"/>
      <w:tblStyleColBandSize w:val="1"/>
      <w:tblCellMar>
        <w:top w:w="100.0" w:type="dxa"/>
        <w:left w:w="100.0" w:type="dxa"/>
        <w:bottom w:w="100.0" w:type="dxa"/>
        <w:right w:w="100.0" w:type="dxa"/>
      </w:tblCellMar>
    </w:tblPr>
  </w:style>
  <w:style w:type="paragraph" w:styleId="af5">
    <w:name w:val="List Paragraph"/>
    <w:aliases w:val="Elenco Normale,List Paragraph,Список уровня 2,название табл/рис,Chapter10"/>
    <w:basedOn w:val="a"/>
    <w:link w:val="af6"/>
    <w:uiPriority w:val="34"/>
    <w:qFormat w:val="1"/>
    <w:rsid w:val="00FF70AE"/>
    <w:pPr>
      <w:ind w:left="720"/>
      <w:contextualSpacing w:val="1"/>
    </w:pPr>
  </w:style>
  <w:style w:type="character" w:styleId="af6" w:customStyle="1">
    <w:name w:val="Абзац списка Знак"/>
    <w:aliases w:val="Elenco Normale Знак,List Paragraph Знак,Список уровня 2 Знак,название табл/рис Знак,Chapter10 Знак"/>
    <w:link w:val="af5"/>
    <w:uiPriority w:val="34"/>
    <w:locked w:val="1"/>
    <w:rsid w:val="00FF70AE"/>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ICN6JYwa7XcWnG_tExzM-Sb6qk3f6d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ckXkq09DNnZx2BqJc4A2CtXy/A==">CgMxLjAyDmguZjg3NGp2NW04cnM5Mg5oLmEwcmFwd2tjc2MzYjgAah8KFHN1Z2dlc3Quczc0eHhmYXo1a2xuEgdWbGFkYSBTah8KFHN1Z2dlc3QuMXV2cnJudDEwbjFtEgdWbGFkYSBTciExTnFScEdfUVpxdWZsY1F0dlZYRXE0T2hVRUZEVHB5cjA=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2022-08-17T14:44:00Z</dcterms:created>
  <dc:creator>userua12</dc:creator>
</cp:coreProperties>
</file>